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31D273">
      <w:pPr>
        <w:widowControl/>
        <w:spacing w:line="560" w:lineRule="exact"/>
        <w:ind w:right="30"/>
        <w:jc w:val="left"/>
        <w:rPr>
          <w:rFonts w:ascii="仿宋_GB2312" w:eastAsia="仿宋_GB2312"/>
          <w:b/>
          <w:color w:val="000000"/>
          <w:sz w:val="32"/>
          <w:szCs w:val="32"/>
        </w:rPr>
      </w:pPr>
      <w:r>
        <w:rPr>
          <w:rFonts w:hint="eastAsia" w:ascii="仿宋_GB2312" w:eastAsia="仿宋_GB2312"/>
          <w:b/>
          <w:color w:val="000000"/>
          <w:sz w:val="32"/>
          <w:szCs w:val="32"/>
        </w:rPr>
        <w:t>附件2</w:t>
      </w:r>
      <w:bookmarkStart w:id="0" w:name="_GoBack"/>
      <w:bookmarkEnd w:id="0"/>
    </w:p>
    <w:p w14:paraId="6322467C">
      <w:pPr>
        <w:widowControl/>
        <w:spacing w:line="440" w:lineRule="exact"/>
        <w:jc w:val="center"/>
        <w:rPr>
          <w:rFonts w:ascii="方正小标宋_GBK" w:eastAsia="方正小标宋_GBK" w:cs="宋体"/>
          <w:color w:val="000000"/>
          <w:kern w:val="0"/>
          <w:sz w:val="44"/>
          <w:szCs w:val="44"/>
        </w:rPr>
      </w:pPr>
    </w:p>
    <w:p w14:paraId="B759F511">
      <w:pPr>
        <w:widowControl/>
        <w:spacing w:line="440" w:lineRule="exact"/>
        <w:jc w:val="center"/>
        <w:rPr>
          <w:rFonts w:hint="eastAsia" w:ascii="方正小标宋_GBK" w:hAnsi="宋体" w:eastAsia="方正小标宋_GBK" w:cs="宋体"/>
          <w:color w:val="000000"/>
          <w:kern w:val="0"/>
          <w:sz w:val="44"/>
          <w:szCs w:val="44"/>
        </w:rPr>
      </w:pPr>
      <w:r>
        <w:rPr>
          <w:rFonts w:hint="eastAsia" w:ascii="方正小标宋_GBK" w:eastAsia="方正小标宋_GBK" w:cs="宋体"/>
          <w:color w:val="000000"/>
          <w:kern w:val="0"/>
          <w:sz w:val="44"/>
          <w:szCs w:val="44"/>
        </w:rPr>
        <w:t>202</w:t>
      </w:r>
      <w:r>
        <w:rPr>
          <w:rFonts w:hint="eastAsia" w:ascii="方正小标宋_GBK" w:eastAsia="方正小标宋_GBK" w:cs="宋体"/>
          <w:color w:val="000000"/>
          <w:kern w:val="0"/>
          <w:sz w:val="44"/>
          <w:szCs w:val="44"/>
          <w:lang w:val="en-US" w:eastAsia="zh-CN"/>
        </w:rPr>
        <w:t>6</w:t>
      </w:r>
      <w:r>
        <w:rPr>
          <w:rFonts w:hint="eastAsia" w:ascii="方正小标宋_GBK" w:eastAsia="方正小标宋_GBK" w:cs="宋体"/>
          <w:color w:val="000000"/>
          <w:kern w:val="0"/>
          <w:sz w:val="44"/>
          <w:szCs w:val="44"/>
        </w:rPr>
        <w:t>年硕士研究生复试资格审查工作要求</w:t>
      </w:r>
    </w:p>
    <w:p w14:paraId="684D0E4A">
      <w:pPr>
        <w:widowControl/>
        <w:spacing w:line="560" w:lineRule="exact"/>
        <w:jc w:val="left"/>
        <w:rPr>
          <w:rFonts w:ascii="仿宋_GB2312" w:hAnsi="宋体" w:eastAsia="仿宋_GB2312" w:cs="宋体"/>
          <w:color w:val="000000"/>
          <w:kern w:val="0"/>
          <w:sz w:val="32"/>
          <w:szCs w:val="32"/>
        </w:rPr>
      </w:pPr>
    </w:p>
    <w:p w14:paraId="E9568C9F">
      <w:pPr>
        <w:widowControl/>
        <w:spacing w:line="560" w:lineRule="exact"/>
        <w:ind w:firstLine="640" w:firstLineChars="200"/>
        <w:jc w:val="left"/>
        <w:rPr>
          <w:rFonts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一、时间</w:t>
      </w:r>
    </w:p>
    <w:p w14:paraId="FF3923F1">
      <w:pPr>
        <w:widowControl/>
        <w:spacing w:line="560" w:lineRule="exact"/>
        <w:ind w:firstLine="640" w:firstLineChars="200"/>
        <w:jc w:val="left"/>
        <w:rPr>
          <w:rFonts w:hint="eastAsia" w:ascii="仿宋_GB2312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202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t>年硕士研究生复试资格审查由学院在复试前负责组织进行。</w:t>
      </w:r>
    </w:p>
    <w:p w14:paraId="FDB0B393">
      <w:pPr>
        <w:widowControl/>
        <w:spacing w:line="560" w:lineRule="exact"/>
        <w:ind w:firstLine="640" w:firstLineChars="200"/>
        <w:jc w:val="left"/>
        <w:rPr>
          <w:rFonts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二、方式</w:t>
      </w:r>
    </w:p>
    <w:p w14:paraId="CB94A529">
      <w:pPr>
        <w:widowControl/>
        <w:spacing w:line="560" w:lineRule="exact"/>
        <w:ind w:firstLine="640" w:firstLineChars="200"/>
        <w:jc w:val="lef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t>学院根据复试资格审核材料清单，认真核对考生信息，并填写《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202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年研究生复试资格审查登记表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t>》的内容，面试后加盖学院公章存档备查。</w:t>
      </w:r>
    </w:p>
    <w:p w14:paraId="97BBE6C8">
      <w:pPr>
        <w:widowControl/>
        <w:spacing w:line="560" w:lineRule="exact"/>
        <w:ind w:firstLine="640" w:firstLineChars="200"/>
        <w:jc w:val="left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三、内容</w:t>
      </w:r>
    </w:p>
    <w:p w14:paraId="79E205FD">
      <w:pPr>
        <w:widowControl/>
        <w:spacing w:line="560" w:lineRule="exact"/>
        <w:jc w:val="lef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 xml:space="preserve">   </w:t>
      </w:r>
      <w:r>
        <w:rPr>
          <w:rFonts w:ascii="仿宋_GB2312" w:hAnsi="宋体" w:eastAsia="仿宋_GB2312" w:cs="宋体"/>
          <w:color w:val="000000"/>
          <w:kern w:val="0"/>
          <w:sz w:val="32"/>
          <w:szCs w:val="32"/>
        </w:rPr>
        <w:t xml:space="preserve"> 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1、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t>往届生资格审查</w:t>
      </w:r>
    </w:p>
    <w:p w14:paraId="8E34AAE2">
      <w:pPr>
        <w:widowControl/>
        <w:spacing w:line="560" w:lineRule="exact"/>
        <w:jc w:val="lef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 xml:space="preserve">   </w:t>
      </w:r>
      <w:r>
        <w:rPr>
          <w:rFonts w:ascii="仿宋_GB2312" w:hAnsi="宋体" w:eastAsia="仿宋_GB2312" w:cs="宋体"/>
          <w:color w:val="000000"/>
          <w:kern w:val="0"/>
          <w:sz w:val="32"/>
          <w:szCs w:val="32"/>
        </w:rPr>
        <w:t xml:space="preserve"> 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t>必须查验毕业证书原件，认真核对证书编号，如考生填写的有学位，必须同时查验学位证书原件，核对证书编号。若不能提供以上原件，需提供学历学位认证报告原件。以上所有材料都不能提供，则资格审查不予通过。</w:t>
      </w:r>
    </w:p>
    <w:p w14:paraId="823BFD59">
      <w:pPr>
        <w:widowControl/>
        <w:spacing w:line="560" w:lineRule="exact"/>
        <w:jc w:val="lef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 xml:space="preserve">   </w:t>
      </w:r>
      <w:r>
        <w:rPr>
          <w:rFonts w:ascii="仿宋_GB2312" w:hAnsi="宋体" w:eastAsia="仿宋_GB2312" w:cs="宋体"/>
          <w:color w:val="000000"/>
          <w:kern w:val="0"/>
          <w:sz w:val="32"/>
          <w:szCs w:val="32"/>
        </w:rPr>
        <w:t xml:space="preserve"> 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t>专科生要求工作两年或两年以上，</w:t>
      </w:r>
      <w:r>
        <w:rPr>
          <w:rFonts w:hint="eastAsia" w:ascii="仿宋_GB2312" w:eastAsia="仿宋_GB2312" w:cs="宋体"/>
          <w:b/>
          <w:color w:val="000000"/>
          <w:kern w:val="0"/>
          <w:sz w:val="32"/>
          <w:szCs w:val="32"/>
        </w:rPr>
        <w:t>要符合招生专业目录中招收同等学力的规定。</w:t>
      </w:r>
    </w:p>
    <w:p w14:paraId="C4D99CC1">
      <w:pPr>
        <w:widowControl/>
        <w:spacing w:line="560" w:lineRule="exact"/>
        <w:ind w:firstLine="480" w:firstLineChars="150"/>
        <w:jc w:val="lef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2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t>、应届生资格审查</w:t>
      </w:r>
    </w:p>
    <w:p w14:paraId="25C00FCF">
      <w:pPr>
        <w:widowControl/>
        <w:spacing w:line="560" w:lineRule="exact"/>
        <w:ind w:firstLine="480" w:firstLineChars="150"/>
        <w:jc w:val="lef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t>须查验考生的学生证原件或学籍在线认证报告，查看其信息与报考信息是否一致。如不能提供或所提供信息与报考信息不一致，则资格审查不予通过。</w:t>
      </w:r>
    </w:p>
    <w:p w14:paraId="50336BDC">
      <w:pPr>
        <w:widowControl/>
        <w:spacing w:line="560" w:lineRule="exact"/>
        <w:ind w:firstLine="640" w:firstLineChars="200"/>
        <w:jc w:val="left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四、要求</w:t>
      </w:r>
    </w:p>
    <w:p w14:paraId="2C46A9D5">
      <w:pPr>
        <w:widowControl/>
        <w:spacing w:line="560" w:lineRule="exact"/>
        <w:ind w:firstLine="480" w:firstLineChars="150"/>
        <w:jc w:val="lef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1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t>、要认真填写《资格审查登记表》。登记表中取得最后学历的学习形式栏填写说明如下：</w:t>
      </w:r>
    </w:p>
    <w:p w14:paraId="32F77476">
      <w:pPr>
        <w:widowControl/>
        <w:spacing w:line="560" w:lineRule="exact"/>
        <w:ind w:firstLine="480" w:firstLineChars="150"/>
        <w:jc w:val="lef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①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t>普通全日制（含应届本科毕业生和学历教育研究生）；</w:t>
      </w:r>
    </w:p>
    <w:p w14:paraId="4B647939">
      <w:pPr>
        <w:widowControl/>
        <w:spacing w:line="560" w:lineRule="exact"/>
        <w:ind w:firstLine="480" w:firstLineChars="150"/>
        <w:jc w:val="lef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②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t>成人教育（成人脱产、业余、夜大学、函授、电视教育，含成人应届本科毕业生）；</w:t>
      </w:r>
    </w:p>
    <w:p w14:paraId="3D905383">
      <w:pPr>
        <w:widowControl/>
        <w:spacing w:line="560" w:lineRule="exact"/>
        <w:ind w:firstLine="480" w:firstLineChars="150"/>
        <w:jc w:val="lef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③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t>自学考试（毕业证书中应填有“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XX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t>省（市、自治区）高等教育自学考试委员会名称和印章、主考学校或就读学校名称和印章”）；</w:t>
      </w:r>
    </w:p>
    <w:p w14:paraId="771F68FD">
      <w:pPr>
        <w:widowControl/>
        <w:spacing w:line="560" w:lineRule="exact"/>
        <w:ind w:firstLine="480" w:firstLineChars="150"/>
        <w:jc w:val="lef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④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t>网络教育；</w:t>
      </w:r>
    </w:p>
    <w:p w14:paraId="9000B8E2">
      <w:pPr>
        <w:widowControl/>
        <w:spacing w:line="560" w:lineRule="exact"/>
        <w:ind w:firstLine="480" w:firstLineChars="150"/>
        <w:jc w:val="lef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⑤获境外学历或学位证书者；</w:t>
      </w:r>
    </w:p>
    <w:p w14:paraId="40355D8D">
      <w:pPr>
        <w:widowControl/>
        <w:spacing w:line="560" w:lineRule="exact"/>
        <w:ind w:firstLine="480" w:firstLineChars="150"/>
        <w:jc w:val="lef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fldChar w:fldCharType="begin"/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instrText xml:space="preserve"> = 6 \* GB3 </w:instrTex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fldChar w:fldCharType="separate"/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t>⑥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t>其他。</w:t>
      </w:r>
    </w:p>
    <w:p w14:paraId="91313499">
      <w:pPr>
        <w:widowControl/>
        <w:spacing w:line="560" w:lineRule="exact"/>
        <w:ind w:firstLine="640" w:firstLineChars="200"/>
        <w:jc w:val="left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2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t>、资格审查要做到认真细致，相关证件号码、学历证编号、应届生学生证信息要与报考信息表上的内容完全一致，身份证、学历学位证（学生证）、准考证照片要一致。</w:t>
      </w:r>
    </w:p>
    <w:p w14:paraId="DE182700">
      <w:pPr>
        <w:widowControl/>
        <w:spacing w:line="560" w:lineRule="exact"/>
        <w:ind w:right="30" w:firstLine="640" w:firstLineChars="200"/>
        <w:jc w:val="left"/>
        <w:rPr>
          <w:rFonts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3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</w:rPr>
        <w:t>、资格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审查合格后，考生才能参加复试。</w:t>
      </w:r>
    </w:p>
    <w:p w14:paraId="4DEDD77F">
      <w:pPr>
        <w:widowControl/>
        <w:spacing w:line="560" w:lineRule="exact"/>
        <w:ind w:right="30"/>
        <w:jc w:val="left"/>
        <w:rPr>
          <w:rFonts w:hint="eastAsia" w:ascii="等线" w:hAnsi="等线" w:cs="Noto Sans Mono CJK KR Regular"/>
          <w:iCs/>
          <w:color w:val="000000"/>
          <w:kern w:val="0"/>
          <w:sz w:val="28"/>
          <w:szCs w:val="28"/>
          <w:u w:val="single"/>
        </w:rPr>
      </w:pPr>
    </w:p>
    <w:sectPr>
      <w:footerReference r:id="rId3" w:type="default"/>
      <w:footerReference r:id="rId4" w:type="even"/>
      <w:pgSz w:w="11906" w:h="16838"/>
      <w:pgMar w:top="1418" w:right="1474" w:bottom="1418" w:left="1588" w:header="851" w:footer="99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FC0AD72-E497-4EEF-A1E8-DC0CFF599D6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6996BD1-1227-4546-B47E-6B1701BBD8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C7332C3-4D1D-4394-8730-6A252FF212D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4837399-F0AE-47AC-85DC-9BF6FC1CFDC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4ED5EBF5-86A1-4DE5-B154-F0E3BB4B17C0}"/>
  </w:font>
  <w:font w:name="仿宋">
    <w:panose1 w:val="02010609060101010101"/>
    <w:charset w:val="7A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6" w:fontKey="{B81612DC-8DB2-4B97-BD0B-46F6479C3513}"/>
  </w:font>
  <w:font w:name="仿宋_GB2312">
    <w:panose1 w:val="02010609030101010101"/>
    <w:charset w:val="7A"/>
    <w:family w:val="modern"/>
    <w:pitch w:val="default"/>
    <w:sig w:usb0="00000001" w:usb1="080E0000" w:usb2="00000000" w:usb3="00000000" w:csb0="00040000" w:csb1="00000000"/>
    <w:embedRegular r:id="rId7" w:fontKey="{9E1606C3-A341-4060-919A-629E513C9DD7}"/>
  </w:font>
  <w:font w:name="方正小标宋_GBK">
    <w:altName w:val="微软雅黑"/>
    <w:panose1 w:val="03000509000000000000"/>
    <w:charset w:val="7A"/>
    <w:family w:val="script"/>
    <w:pitch w:val="default"/>
    <w:sig w:usb0="00000000" w:usb1="00000000" w:usb2="00000010" w:usb3="00000000" w:csb0="00040000" w:csb1="00000000"/>
    <w:embedRegular r:id="rId8" w:fontKey="{C0F839DE-EF3F-4209-8278-E7F6AFFAD5FD}"/>
  </w:font>
  <w:font w:name="微软雅黑">
    <w:panose1 w:val="020B0503020204020204"/>
    <w:charset w:val="7A"/>
    <w:family w:val="swiss"/>
    <w:pitch w:val="default"/>
    <w:sig w:usb0="80000287" w:usb1="2ACF3C50" w:usb2="00000016" w:usb3="00000000" w:csb0="0004001F" w:csb1="00000000"/>
  </w:font>
  <w:font w:name="黑体">
    <w:panose1 w:val="02010609060101010101"/>
    <w:charset w:val="7A"/>
    <w:family w:val="auto"/>
    <w:pitch w:val="default"/>
    <w:sig w:usb0="800002BF" w:usb1="38CF7CFA" w:usb2="00000016" w:usb3="00000000" w:csb0="00040001" w:csb1="00000000"/>
    <w:embedRegular r:id="rId9" w:fontKey="{777DBE4D-495F-427E-B4FF-2C38F1320BD0}"/>
  </w:font>
  <w:font w:name="等线">
    <w:panose1 w:val="02010600030101010101"/>
    <w:charset w:val="7A"/>
    <w:family w:val="auto"/>
    <w:pitch w:val="default"/>
    <w:sig w:usb0="A00002BF" w:usb1="38CF7CFA" w:usb2="00000016" w:usb3="00000000" w:csb0="0004000F" w:csb1="00000000"/>
    <w:embedRegular r:id="rId10" w:fontKey="{4F869C49-D44A-42A8-8BD9-44EB7F210A4F}"/>
  </w:font>
  <w:font w:name="Noto Sans Mono CJK KR Regular">
    <w:altName w:val="宋体"/>
    <w:panose1 w:val="00000000000000000000"/>
    <w:charset w:val="7A"/>
    <w:family w:val="auto"/>
    <w:pitch w:val="default"/>
    <w:sig w:usb0="00000000" w:usb1="00000000" w:usb2="00000010" w:usb3="00000000" w:csb0="00040000" w:csb1="00000000"/>
    <w:embedRegular r:id="rId11" w:fontKey="{AAFF9C13-7813-4662-BC6A-6CDA511AAB7D}"/>
  </w:font>
  <w:font w:name="KSOF8080F95D">
    <w:panose1 w:val="020B0503020204020204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F7A8C32E">
    <w:pPr>
      <w:pStyle w:val="6"/>
      <w:framePr w:wrap="around" w:vAnchor="text" w:hAnchor="margin" w:xAlign="center" w:y="1"/>
      <w:tabs>
        <w:tab w:val="clear" w:pos="4153"/>
        <w:tab w:val="clear" w:pos="8306"/>
      </w:tabs>
      <w:rPr>
        <w:rStyle w:val="14"/>
      </w:rPr>
    </w:pPr>
  </w:p>
  <w:p w14:paraId="236007D1">
    <w:pPr>
      <w:pStyle w:val="6"/>
      <w:tabs>
        <w:tab w:val="clear" w:pos="4153"/>
        <w:tab w:val="clear" w:pos="8306"/>
      </w:tabs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095CC4">
    <w:pPr>
      <w:pStyle w:val="6"/>
      <w:framePr w:wrap="around" w:vAnchor="text" w:hAnchor="margin" w:xAlign="center" w:y="1"/>
      <w:tabs>
        <w:tab w:val="clear" w:pos="4153"/>
        <w:tab w:val="clear" w:pos="8306"/>
      </w:tabs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end"/>
    </w:r>
  </w:p>
  <w:p w14:paraId="02C76903">
    <w:pPr>
      <w:pStyle w:val="6"/>
      <w:tabs>
        <w:tab w:val="clear" w:pos="4153"/>
        <w:tab w:val="clear" w:pos="8306"/>
      </w:tabs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000000"/>
    <w:rsid w:val="05C538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qFormat/>
    <w:uiPriority w:val="0"/>
  </w:style>
  <w:style w:type="table" w:default="1" w:styleId="10">
    <w:name w:val="Normal Table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qFormat/>
    <w:uiPriority w:val="0"/>
    <w:pPr>
      <w:jc w:val="left"/>
    </w:pPr>
  </w:style>
  <w:style w:type="paragraph" w:styleId="3">
    <w:name w:val="Block 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4">
    <w:name w:val="Date"/>
    <w:basedOn w:val="1"/>
    <w:next w:val="1"/>
    <w:qFormat/>
    <w:uiPriority w:val="0"/>
    <w:pPr>
      <w:ind w:left="100" w:leftChars="2500"/>
    </w:pPr>
  </w:style>
  <w:style w:type="paragraph" w:styleId="5">
    <w:name w:val="Balloon Text"/>
    <w:basedOn w:val="1"/>
    <w:qFormat/>
    <w:uiPriority w:val="0"/>
    <w:rPr>
      <w:sz w:val="18"/>
      <w:szCs w:val="18"/>
    </w:rPr>
  </w:style>
  <w:style w:type="paragraph" w:styleId="6">
    <w:name w:val="footer"/>
    <w:basedOn w:val="1"/>
    <w:link w:val="1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9">
    <w:name w:val="annotation subject"/>
    <w:basedOn w:val="2"/>
    <w:next w:val="2"/>
    <w:link w:val="21"/>
    <w:qFormat/>
    <w:uiPriority w:val="0"/>
    <w:rPr>
      <w:b/>
      <w:bCs/>
    </w:rPr>
  </w:style>
  <w:style w:type="table" w:styleId="11">
    <w:name w:val="Table Grid"/>
    <w:basedOn w:val="10"/>
    <w:qFormat/>
    <w:uiPriority w:val="0"/>
    <w:rPr>
      <w:rFonts w:ascii="Calibri" w:hAnsi="Calibri" w:eastAsia="宋体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uiPriority w:val="0"/>
    <w:rPr>
      <w:b/>
    </w:rPr>
  </w:style>
  <w:style w:type="character" w:styleId="14">
    <w:name w:val="page number"/>
    <w:uiPriority w:val="0"/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annotation reference"/>
    <w:qFormat/>
    <w:uiPriority w:val="0"/>
    <w:rPr>
      <w:sz w:val="21"/>
      <w:szCs w:val="21"/>
    </w:rPr>
  </w:style>
  <w:style w:type="character" w:customStyle="1" w:styleId="17">
    <w:name w:val="页脚 字符"/>
    <w:link w:val="6"/>
    <w:qFormat/>
    <w:uiPriority w:val="0"/>
    <w:rPr>
      <w:kern w:val="2"/>
      <w:sz w:val="18"/>
      <w:szCs w:val="18"/>
    </w:rPr>
  </w:style>
  <w:style w:type="paragraph" w:customStyle="1" w:styleId="18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" w:hAnsi="仿宋" w:eastAsia="宋体" w:cs="仿宋"/>
      <w:color w:val="000000"/>
      <w:sz w:val="24"/>
      <w:szCs w:val="24"/>
      <w:lang w:val="en-US" w:eastAsia="zh-CN" w:bidi="ar-SA"/>
    </w:rPr>
  </w:style>
  <w:style w:type="character" w:customStyle="1" w:styleId="19">
    <w:name w:val="批注文字 字符"/>
    <w:link w:val="2"/>
    <w:qFormat/>
    <w:uiPriority w:val="0"/>
    <w:rPr>
      <w:kern w:val="2"/>
      <w:sz w:val="21"/>
      <w:szCs w:val="24"/>
    </w:rPr>
  </w:style>
  <w:style w:type="character" w:customStyle="1" w:styleId="20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21">
    <w:name w:val="批注主题 字符"/>
    <w:link w:val="9"/>
    <w:qFormat/>
    <w:uiPriority w:val="0"/>
    <w:rPr>
      <w:b/>
      <w:bCs/>
      <w:kern w:val="2"/>
      <w:sz w:val="21"/>
      <w:szCs w:val="24"/>
    </w:rPr>
  </w:style>
  <w:style w:type="paragraph" w:customStyle="1" w:styleId="22">
    <w:name w:val="redtit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3">
    <w:name w:val=" Char"/>
    <w:basedOn w:val="1"/>
    <w:qFormat/>
    <w:uiPriority w:val="0"/>
    <w:rPr>
      <w:rFonts w:ascii="宋体" w:hAnsi="宋体" w:cs="Courier New"/>
      <w:sz w:val="32"/>
      <w:szCs w:val="32"/>
    </w:rPr>
  </w:style>
  <w:style w:type="character" w:customStyle="1" w:styleId="24">
    <w:name w:val="未处理的提及"/>
    <w:qFormat/>
    <w:uiPriority w:val="0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hnnd</Company>
  <Pages>2</Pages>
  <Words>617</Words>
  <Characters>627</Characters>
  <Paragraphs>31</Paragraphs>
  <TotalTime>157273441</TotalTime>
  <ScaleCrop>false</ScaleCrop>
  <LinksUpToDate>false</LinksUpToDate>
  <CharactersWithSpaces>639</CharactersWithSpaces>
  <Application>WPS Office_12.1.0.25835_F1E327BC-269C-435d-A152-05C5408002CA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2025-03-27T01:05:00Z</dcterms:created>
  <dc:creator>lpy</dc:creator>
  <cp:lastModifiedBy>WPS_1721564168</cp:lastModifiedBy>
  <cp:lastPrinted>2025-03-24T13:35:00Z</cp:lastPrinted>
  <dcterms:modified xsi:type="dcterms:W3CDTF">2026-03-27T04:11:19Z</dcterms:modified>
  <dc:title>2007年硕士研究生复试录取工作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2052-12.1.0.25835</vt:lpwstr>
  </property>
  <property fmtid="{D5CDD505-2E9C-101B-9397-08002B2CF9AE}" pid="3" name="KSOTemplateDocerSaveRecord">
    <vt:lpwstr>eyJoZGlkIjoiM2ZmZThmNGYzYWI4ZGRlNTNiZWFiYmE5NWQwNzE3ZTAiLCJ1c2VySWQiOiIxNjE2NjcyMjA0In0=</vt:lpwstr>
  </property>
  <property fmtid="{D5CDD505-2E9C-101B-9397-08002B2CF9AE}" pid="4" name="ICV">
    <vt:lpwstr>5DE270B884C14A988851EC7C7F1DDFDD_13</vt:lpwstr>
  </property>
</Properties>
</file>